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60EA" w:rsidRDefault="009C60EA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9629"/>
        </w:tabs>
        <w:spacing w:after="120" w:line="360" w:lineRule="auto"/>
        <w:jc w:val="center"/>
        <w:rPr>
          <w:rFonts w:ascii="Times" w:eastAsia="Times" w:hAnsi="Times" w:cs="Times"/>
          <w:b/>
          <w:color w:val="000000"/>
        </w:rPr>
      </w:pPr>
    </w:p>
    <w:p w:rsidR="009C60EA" w:rsidRDefault="009C60EA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9629"/>
        </w:tabs>
        <w:spacing w:after="120" w:line="360" w:lineRule="auto"/>
        <w:jc w:val="center"/>
        <w:rPr>
          <w:rFonts w:ascii="Times" w:eastAsia="Times" w:hAnsi="Times" w:cs="Times"/>
          <w:b/>
          <w:color w:val="000000"/>
        </w:rPr>
      </w:pPr>
    </w:p>
    <w:p w:rsidR="009C60EA" w:rsidRDefault="009C60EA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9629"/>
        </w:tabs>
        <w:spacing w:after="120" w:line="360" w:lineRule="auto"/>
        <w:jc w:val="center"/>
        <w:rPr>
          <w:rFonts w:ascii="Times" w:eastAsia="Times" w:hAnsi="Times" w:cs="Times"/>
          <w:b/>
          <w:color w:val="000000"/>
        </w:rPr>
      </w:pPr>
    </w:p>
    <w:p w:rsidR="009C60EA" w:rsidRDefault="009C60EA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9629"/>
        </w:tabs>
        <w:spacing w:after="120" w:line="360" w:lineRule="auto"/>
        <w:jc w:val="center"/>
        <w:rPr>
          <w:rFonts w:ascii="Times" w:eastAsia="Times" w:hAnsi="Times" w:cs="Times"/>
          <w:b/>
          <w:color w:val="000000"/>
        </w:rPr>
      </w:pPr>
    </w:p>
    <w:p w:rsidR="009C60EA" w:rsidRDefault="009C60EA" w:rsidP="00600594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9629"/>
        </w:tabs>
        <w:spacing w:after="120" w:line="360" w:lineRule="auto"/>
        <w:rPr>
          <w:rFonts w:ascii="Times" w:eastAsia="Times" w:hAnsi="Times" w:cs="Times"/>
          <w:b/>
          <w:color w:val="000000"/>
        </w:rPr>
      </w:pPr>
    </w:p>
    <w:p w:rsidR="009C60EA" w:rsidRDefault="00F307C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9629"/>
        </w:tabs>
        <w:spacing w:after="120" w:line="360" w:lineRule="auto"/>
        <w:jc w:val="center"/>
        <w:rPr>
          <w:rFonts w:ascii="Calibri" w:eastAsia="Calibri" w:hAnsi="Calibri" w:cs="Calibri"/>
          <w:b/>
          <w:color w:val="000000"/>
          <w:sz w:val="52"/>
          <w:szCs w:val="52"/>
        </w:rPr>
      </w:pPr>
      <w:r>
        <w:rPr>
          <w:rFonts w:ascii="Calibri" w:eastAsia="Calibri" w:hAnsi="Calibri" w:cs="Calibri"/>
          <w:b/>
          <w:color w:val="000000"/>
          <w:sz w:val="52"/>
          <w:szCs w:val="52"/>
        </w:rPr>
        <w:tab/>
        <w:t xml:space="preserve">MAPA DE GERENCIAMENTO DE RISCOS </w:t>
      </w:r>
    </w:p>
    <w:p w:rsidR="009C60EA" w:rsidRDefault="009C60EA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9C60EA" w:rsidRDefault="00F307CF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Processo Administrativo nº </w:t>
      </w:r>
      <w:r>
        <w:rPr>
          <w:rFonts w:ascii="Calibri" w:eastAsia="Calibri" w:hAnsi="Calibri" w:cs="Calibri"/>
          <w:b/>
          <w:color w:val="FF3333"/>
          <w:sz w:val="28"/>
          <w:szCs w:val="28"/>
        </w:rPr>
        <w:t>&lt;XXXXXXXX&gt;</w:t>
      </w:r>
    </w:p>
    <w:p w:rsidR="009C60EA" w:rsidRDefault="009C60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:rsidR="009C60EA" w:rsidRDefault="009C60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:rsidR="009C60EA" w:rsidRDefault="009C60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:rsidR="009C60EA" w:rsidRDefault="009C60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:rsidR="009C60EA" w:rsidRDefault="009C60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:rsidR="009C60EA" w:rsidRDefault="00F307C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Calibri" w:eastAsia="Calibri" w:hAnsi="Calibri" w:cs="Calibri"/>
          <w:color w:val="FF3333"/>
          <w:sz w:val="52"/>
          <w:szCs w:val="52"/>
        </w:rPr>
      </w:pPr>
      <w:r>
        <w:rPr>
          <w:rFonts w:ascii="Calibri" w:eastAsia="Calibri" w:hAnsi="Calibri" w:cs="Calibri"/>
          <w:color w:val="FF3333"/>
          <w:sz w:val="52"/>
          <w:szCs w:val="52"/>
        </w:rPr>
        <w:t>&lt;Nome do Projeto / Solução&gt;</w:t>
      </w:r>
    </w:p>
    <w:p w:rsidR="009C60EA" w:rsidRDefault="009C60E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9C60EA" w:rsidRDefault="009C60E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9C60EA" w:rsidRDefault="009C60E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9C60EA" w:rsidRDefault="009C60E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9C60EA" w:rsidRDefault="009C60E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9C60EA" w:rsidRDefault="009C60E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9C60EA" w:rsidRDefault="009C60E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9C60EA" w:rsidRDefault="009C60E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9C60EA" w:rsidRDefault="009C60E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9C60EA" w:rsidRDefault="009C60E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9C60EA" w:rsidRDefault="009C60E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9C60EA" w:rsidRDefault="009C60E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9C60EA" w:rsidRDefault="00F307C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9629"/>
        </w:tabs>
        <w:spacing w:before="120" w:after="120"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FF3333"/>
        </w:rPr>
        <w:t>&lt;Local&gt;</w:t>
      </w:r>
      <w:r>
        <w:rPr>
          <w:rFonts w:ascii="Calibri" w:eastAsia="Calibri" w:hAnsi="Calibri" w:cs="Calibri"/>
          <w:b/>
          <w:color w:val="000000"/>
        </w:rPr>
        <w:t xml:space="preserve">, </w:t>
      </w:r>
      <w:r>
        <w:rPr>
          <w:rFonts w:ascii="Calibri" w:eastAsia="Calibri" w:hAnsi="Calibri" w:cs="Calibri"/>
          <w:b/>
          <w:color w:val="FF3333"/>
        </w:rPr>
        <w:t>&lt;mês&gt;</w:t>
      </w:r>
      <w:r>
        <w:rPr>
          <w:rFonts w:ascii="Calibri" w:eastAsia="Calibri" w:hAnsi="Calibri" w:cs="Calibri"/>
          <w:b/>
          <w:color w:val="000000"/>
        </w:rPr>
        <w:t xml:space="preserve"> de </w:t>
      </w:r>
      <w:r>
        <w:rPr>
          <w:rFonts w:ascii="Calibri" w:eastAsia="Calibri" w:hAnsi="Calibri" w:cs="Calibri"/>
          <w:b/>
          <w:color w:val="FF3333"/>
        </w:rPr>
        <w:t>&lt;ano&gt;</w:t>
      </w:r>
      <w:r>
        <w:br w:type="page"/>
      </w:r>
    </w:p>
    <w:p w:rsidR="009C60EA" w:rsidRDefault="00F307C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9629"/>
        </w:tabs>
        <w:spacing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Histórico de Revisões</w:t>
      </w:r>
    </w:p>
    <w:p w:rsidR="009C60EA" w:rsidRDefault="009C60EA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9629"/>
        </w:tabs>
        <w:spacing w:line="360" w:lineRule="auto"/>
        <w:jc w:val="center"/>
        <w:rPr>
          <w:rFonts w:ascii="Calibri" w:eastAsia="Calibri" w:hAnsi="Calibri" w:cs="Calibri"/>
          <w:b/>
          <w:color w:val="000000"/>
        </w:rPr>
      </w:pPr>
    </w:p>
    <w:tbl>
      <w:tblPr>
        <w:tblStyle w:val="a"/>
        <w:tblW w:w="9355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24"/>
        <w:gridCol w:w="813"/>
        <w:gridCol w:w="4412"/>
        <w:gridCol w:w="1425"/>
        <w:gridCol w:w="1581"/>
      </w:tblGrid>
      <w:tr w:rsidR="009C60EA"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Data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Versão</w:t>
            </w:r>
          </w:p>
        </w:tc>
        <w:tc>
          <w:tcPr>
            <w:tcW w:w="44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Descrição</w:t>
            </w:r>
          </w:p>
        </w:tc>
        <w:tc>
          <w:tcPr>
            <w:tcW w:w="1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Fase*</w:t>
            </w:r>
          </w:p>
        </w:tc>
        <w:tc>
          <w:tcPr>
            <w:tcW w:w="1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Autor</w:t>
            </w:r>
          </w:p>
        </w:tc>
      </w:tr>
      <w:tr w:rsidR="009C60EA">
        <w:tc>
          <w:tcPr>
            <w:tcW w:w="1124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02"/>
              </w:tabs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XX/XX/2019</w:t>
            </w:r>
          </w:p>
        </w:tc>
        <w:tc>
          <w:tcPr>
            <w:tcW w:w="8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1.0</w:t>
            </w:r>
          </w:p>
        </w:tc>
        <w:tc>
          <w:tcPr>
            <w:tcW w:w="441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Finalização da primeira versão do documento.</w:t>
            </w:r>
          </w:p>
        </w:tc>
        <w:tc>
          <w:tcPr>
            <w:tcW w:w="142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PCTIC</w:t>
            </w:r>
          </w:p>
        </w:tc>
        <w:tc>
          <w:tcPr>
            <w:tcW w:w="15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XXXXXXXXXXXX</w:t>
            </w:r>
          </w:p>
        </w:tc>
      </w:tr>
      <w:tr w:rsidR="009C60EA">
        <w:tc>
          <w:tcPr>
            <w:tcW w:w="1124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02"/>
              </w:tabs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XX/XX/2019</w:t>
            </w:r>
          </w:p>
        </w:tc>
        <w:tc>
          <w:tcPr>
            <w:tcW w:w="8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2.0</w:t>
            </w:r>
          </w:p>
        </w:tc>
        <w:tc>
          <w:tcPr>
            <w:tcW w:w="441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Revisão do documento após análise jurídica.</w:t>
            </w:r>
          </w:p>
        </w:tc>
        <w:tc>
          <w:tcPr>
            <w:tcW w:w="142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PCTIC</w:t>
            </w:r>
          </w:p>
        </w:tc>
        <w:tc>
          <w:tcPr>
            <w:tcW w:w="15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XXXXXXXXXXXX</w:t>
            </w:r>
          </w:p>
        </w:tc>
      </w:tr>
      <w:tr w:rsidR="009C60EA">
        <w:tc>
          <w:tcPr>
            <w:tcW w:w="1124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02"/>
              </w:tabs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XX/XX/2019</w:t>
            </w:r>
          </w:p>
        </w:tc>
        <w:tc>
          <w:tcPr>
            <w:tcW w:w="8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02"/>
              </w:tabs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XX</w:t>
            </w:r>
          </w:p>
        </w:tc>
        <w:tc>
          <w:tcPr>
            <w:tcW w:w="441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02"/>
              </w:tabs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&lt;Descrição&gt;</w:t>
            </w:r>
          </w:p>
        </w:tc>
        <w:tc>
          <w:tcPr>
            <w:tcW w:w="142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&lt;fase&gt;</w:t>
            </w:r>
          </w:p>
        </w:tc>
        <w:tc>
          <w:tcPr>
            <w:tcW w:w="15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02"/>
              </w:tabs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XXXXXXXXXXXX</w:t>
            </w:r>
          </w:p>
        </w:tc>
      </w:tr>
      <w:tr w:rsidR="009C60EA">
        <w:tc>
          <w:tcPr>
            <w:tcW w:w="1124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02"/>
              </w:tabs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XX/XX/2019</w:t>
            </w:r>
          </w:p>
        </w:tc>
        <w:tc>
          <w:tcPr>
            <w:tcW w:w="81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02"/>
              </w:tabs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XX</w:t>
            </w:r>
          </w:p>
        </w:tc>
        <w:tc>
          <w:tcPr>
            <w:tcW w:w="441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02"/>
              </w:tabs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&lt;Descrição&gt;</w:t>
            </w:r>
          </w:p>
        </w:tc>
        <w:tc>
          <w:tcPr>
            <w:tcW w:w="142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&lt;fase&gt;</w:t>
            </w:r>
          </w:p>
        </w:tc>
        <w:tc>
          <w:tcPr>
            <w:tcW w:w="15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02"/>
              </w:tabs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XXXXXXXXXXXX</w:t>
            </w:r>
          </w:p>
        </w:tc>
      </w:tr>
    </w:tbl>
    <w:p w:rsidR="009C60EA" w:rsidRDefault="00F307CF">
      <w:pPr>
        <w:tabs>
          <w:tab w:val="left" w:pos="800"/>
          <w:tab w:val="right" w:pos="9629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*Fase: Registro da fase do processo de contratação da solução de TIC relacionada à criação/alteração do Mapa de Gerenciamento de Riscos:</w:t>
      </w:r>
    </w:p>
    <w:p w:rsidR="009C60EA" w:rsidRDefault="00F307CF">
      <w:pPr>
        <w:tabs>
          <w:tab w:val="left" w:pos="800"/>
          <w:tab w:val="right" w:pos="9629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PCTIC</w:t>
      </w:r>
      <w:r>
        <w:rPr>
          <w:rFonts w:ascii="Calibri" w:eastAsia="Calibri" w:hAnsi="Calibri" w:cs="Calibri"/>
          <w:sz w:val="20"/>
          <w:szCs w:val="20"/>
        </w:rPr>
        <w:t xml:space="preserve"> – Planejamento da Contratação;</w:t>
      </w:r>
    </w:p>
    <w:p w:rsidR="009C60EA" w:rsidRDefault="00F307CF">
      <w:pPr>
        <w:tabs>
          <w:tab w:val="left" w:pos="800"/>
          <w:tab w:val="right" w:pos="9629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SFTIC</w:t>
      </w:r>
      <w:r>
        <w:rPr>
          <w:rFonts w:ascii="Calibri" w:eastAsia="Calibri" w:hAnsi="Calibri" w:cs="Calibri"/>
          <w:sz w:val="20"/>
          <w:szCs w:val="20"/>
        </w:rPr>
        <w:t xml:space="preserve"> – Seleção de Fornecedores;</w:t>
      </w:r>
    </w:p>
    <w:p w:rsidR="009C60EA" w:rsidRDefault="00F307CF">
      <w:pPr>
        <w:tabs>
          <w:tab w:val="left" w:pos="800"/>
          <w:tab w:val="right" w:pos="9629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GCTIC</w:t>
      </w:r>
      <w:r>
        <w:rPr>
          <w:rFonts w:ascii="Calibri" w:eastAsia="Calibri" w:hAnsi="Calibri" w:cs="Calibri"/>
          <w:sz w:val="20"/>
          <w:szCs w:val="20"/>
        </w:rPr>
        <w:t xml:space="preserve"> – Gestão do Contrato.</w:t>
      </w:r>
    </w:p>
    <w:p w:rsidR="009C60EA" w:rsidRDefault="009C60EA">
      <w:pPr>
        <w:tabs>
          <w:tab w:val="left" w:pos="800"/>
          <w:tab w:val="right" w:pos="9629"/>
        </w:tabs>
        <w:jc w:val="both"/>
        <w:rPr>
          <w:rFonts w:ascii="Calibri" w:eastAsia="Calibri" w:hAnsi="Calibri" w:cs="Calibri"/>
          <w:sz w:val="20"/>
          <w:szCs w:val="20"/>
        </w:rPr>
      </w:pPr>
    </w:p>
    <w:p w:rsidR="009C60EA" w:rsidRDefault="009C60EA">
      <w:pPr>
        <w:tabs>
          <w:tab w:val="left" w:pos="800"/>
          <w:tab w:val="right" w:pos="9629"/>
        </w:tabs>
        <w:jc w:val="both"/>
        <w:rPr>
          <w:rFonts w:ascii="Calibri" w:eastAsia="Calibri" w:hAnsi="Calibri" w:cs="Calibri"/>
          <w:sz w:val="20"/>
          <w:szCs w:val="20"/>
        </w:rPr>
      </w:pPr>
    </w:p>
    <w:p w:rsidR="009C60EA" w:rsidRDefault="009C60EA">
      <w:pPr>
        <w:tabs>
          <w:tab w:val="left" w:pos="800"/>
          <w:tab w:val="right" w:pos="9629"/>
        </w:tabs>
        <w:jc w:val="both"/>
        <w:rPr>
          <w:rFonts w:ascii="Calibri" w:eastAsia="Calibri" w:hAnsi="Calibri" w:cs="Calibri"/>
          <w:sz w:val="20"/>
          <w:szCs w:val="20"/>
        </w:rPr>
      </w:pPr>
    </w:p>
    <w:p w:rsidR="009C60EA" w:rsidRDefault="009C60EA">
      <w:pPr>
        <w:tabs>
          <w:tab w:val="left" w:pos="800"/>
          <w:tab w:val="right" w:pos="9629"/>
        </w:tabs>
        <w:jc w:val="center"/>
        <w:rPr>
          <w:rFonts w:ascii="Calibri" w:eastAsia="Calibri" w:hAnsi="Calibri" w:cs="Calibri"/>
          <w:color w:val="FF0000"/>
          <w:sz w:val="28"/>
          <w:szCs w:val="28"/>
        </w:rPr>
      </w:pPr>
    </w:p>
    <w:tbl>
      <w:tblPr>
        <w:tblStyle w:val="a0"/>
        <w:tblW w:w="9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9C60E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0EA" w:rsidRDefault="00F307CF">
            <w:pPr>
              <w:tabs>
                <w:tab w:val="left" w:pos="800"/>
                <w:tab w:val="right" w:pos="9629"/>
              </w:tabs>
              <w:jc w:val="center"/>
              <w:rPr>
                <w:rFonts w:ascii="Calibri" w:eastAsia="Calibri" w:hAnsi="Calibri" w:cs="Calibri"/>
                <w:b/>
                <w:color w:val="FF3333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3333"/>
                <w:sz w:val="28"/>
                <w:szCs w:val="28"/>
              </w:rPr>
              <w:t>ATENÇÃO!</w:t>
            </w:r>
          </w:p>
          <w:p w:rsidR="009C60EA" w:rsidRDefault="009C60EA">
            <w:pPr>
              <w:tabs>
                <w:tab w:val="left" w:pos="800"/>
                <w:tab w:val="right" w:pos="9629"/>
              </w:tabs>
              <w:jc w:val="center"/>
              <w:rPr>
                <w:rFonts w:ascii="Calibri" w:eastAsia="Calibri" w:hAnsi="Calibri" w:cs="Calibri"/>
                <w:b/>
                <w:color w:val="FF3333"/>
                <w:sz w:val="28"/>
                <w:szCs w:val="28"/>
              </w:rPr>
            </w:pPr>
          </w:p>
          <w:p w:rsidR="009C60EA" w:rsidRDefault="00F307CF">
            <w:pPr>
              <w:tabs>
                <w:tab w:val="left" w:pos="800"/>
                <w:tab w:val="right" w:pos="9629"/>
              </w:tabs>
              <w:jc w:val="both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&lt; Os trechos marcados em vermelho neste documento são editáveis, notas explicativas ou exemplos, devendo ser substituídos ou excluídos, conforme necessidade&gt;.</w:t>
            </w:r>
          </w:p>
        </w:tc>
      </w:tr>
    </w:tbl>
    <w:p w:rsidR="009C60EA" w:rsidRDefault="009C60EA">
      <w:pPr>
        <w:tabs>
          <w:tab w:val="left" w:pos="800"/>
          <w:tab w:val="right" w:pos="9629"/>
        </w:tabs>
        <w:jc w:val="center"/>
        <w:rPr>
          <w:rFonts w:ascii="Calibri" w:eastAsia="Calibri" w:hAnsi="Calibri" w:cs="Calibri"/>
          <w:color w:val="FF0000"/>
          <w:sz w:val="28"/>
          <w:szCs w:val="28"/>
        </w:rPr>
      </w:pPr>
    </w:p>
    <w:p w:rsidR="009C60EA" w:rsidRDefault="009C60EA">
      <w:pPr>
        <w:tabs>
          <w:tab w:val="left" w:pos="800"/>
          <w:tab w:val="right" w:pos="9629"/>
        </w:tabs>
        <w:jc w:val="center"/>
        <w:rPr>
          <w:rFonts w:ascii="Calibri" w:eastAsia="Calibri" w:hAnsi="Calibri" w:cs="Calibri"/>
          <w:color w:val="FF0000"/>
          <w:sz w:val="28"/>
          <w:szCs w:val="28"/>
        </w:rPr>
      </w:pPr>
    </w:p>
    <w:p w:rsidR="009C60EA" w:rsidRDefault="009C60EA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9629"/>
        </w:tabs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9C60EA" w:rsidRDefault="00F307CF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br w:type="page"/>
      </w:r>
    </w:p>
    <w:p w:rsidR="009C60EA" w:rsidRDefault="00F307CF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MAPA DE GERENCIAMENTO DE RISCOS</w:t>
      </w:r>
    </w:p>
    <w:p w:rsidR="009C60EA" w:rsidRDefault="009C60EA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jc w:val="center"/>
        <w:rPr>
          <w:rFonts w:ascii="Calibri" w:eastAsia="Calibri" w:hAnsi="Calibri" w:cs="Calibri"/>
          <w:b/>
        </w:rPr>
      </w:pPr>
    </w:p>
    <w:tbl>
      <w:tblPr>
        <w:tblStyle w:val="a1"/>
        <w:tblW w:w="9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9C60E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INTRODUÇÃO</w:t>
            </w:r>
          </w:p>
        </w:tc>
      </w:tr>
      <w:tr w:rsidR="009C60EA">
        <w:tc>
          <w:tcPr>
            <w:tcW w:w="9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0EA" w:rsidRDefault="00F307CF">
            <w:pPr>
              <w:spacing w:before="119" w:after="119"/>
              <w:ind w:firstLine="28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 gerenciamento de riscos permite ações contínuas de planejamento, organização e controle dos recursos relacionados aos riscos que possam comprometer o sucesso da contratação, da execução do objeto e da gestão contratual.</w:t>
            </w:r>
          </w:p>
          <w:p w:rsidR="009C60EA" w:rsidRDefault="00F307CF">
            <w:pPr>
              <w:spacing w:before="119" w:after="119"/>
              <w:ind w:firstLine="28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 Mapa de Gerenciamento de Riscos </w:t>
            </w:r>
            <w:r>
              <w:rPr>
                <w:rFonts w:ascii="Calibri" w:eastAsia="Calibri" w:hAnsi="Calibri" w:cs="Calibri"/>
              </w:rPr>
              <w:t>deve conter a identificação e a análise dos principais riscos, consistindo na compreensão da natureza e determinação do nível de risco, que corresponde à combinação do impacto e de suas probabilidades que possam comprometer a efetividade da contratação, be</w:t>
            </w:r>
            <w:r>
              <w:rPr>
                <w:rFonts w:ascii="Calibri" w:eastAsia="Calibri" w:hAnsi="Calibri" w:cs="Calibri"/>
              </w:rPr>
              <w:t>m como o alcance dos resultados pretendidos com a solução de TIC.</w:t>
            </w:r>
          </w:p>
          <w:p w:rsidR="009C60EA" w:rsidRDefault="00F307CF">
            <w:pPr>
              <w:spacing w:after="119"/>
              <w:ind w:firstLine="28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Para cada risco identificado, define-se: a probabilidade de ocorrência dos eventos, os possíveis danos e impacto caso o risco ocorra, possíveis ações preventivas e de contingência (respostas</w:t>
            </w:r>
            <w:r>
              <w:rPr>
                <w:rFonts w:ascii="Calibri" w:eastAsia="Calibri" w:hAnsi="Calibri" w:cs="Calibri"/>
              </w:rPr>
              <w:t xml:space="preserve"> aos riscos), a identificação de responsáveis pelas ações, bem como o registro e o acompanhamento das ações de tratamento dos riscos.</w:t>
            </w:r>
          </w:p>
          <w:p w:rsidR="009C60EA" w:rsidRDefault="00F307CF">
            <w:pPr>
              <w:spacing w:after="238"/>
              <w:ind w:firstLine="283"/>
              <w:jc w:val="both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 xml:space="preserve">&lt;Como </w:t>
            </w:r>
            <w:r>
              <w:rPr>
                <w:rFonts w:ascii="Calibri" w:eastAsia="Calibri" w:hAnsi="Calibri" w:cs="Calibri"/>
                <w:b/>
                <w:color w:val="FF3333"/>
              </w:rPr>
              <w:t>exemplo</w:t>
            </w:r>
            <w:r>
              <w:rPr>
                <w:rFonts w:ascii="Calibri" w:eastAsia="Calibri" w:hAnsi="Calibri" w:cs="Calibri"/>
                <w:color w:val="FF3333"/>
              </w:rPr>
              <w:t>, parâmetros escalares podem ser utilizados para representar os níveis de probabilidade e impacto que, após a</w:t>
            </w:r>
            <w:r>
              <w:rPr>
                <w:rFonts w:ascii="Calibri" w:eastAsia="Calibri" w:hAnsi="Calibri" w:cs="Calibri"/>
                <w:color w:val="FF3333"/>
              </w:rPr>
              <w:t xml:space="preserve"> multiplicação, resultarão nos níveis de risco, que direcionarão as ações relacionadas aos riscos durante as fases de contratação (planejamento, seleção de fornecedor e gestão do contrato).</w:t>
            </w:r>
          </w:p>
          <w:tbl>
            <w:tblPr>
              <w:tblStyle w:val="a2"/>
              <w:tblW w:w="5213" w:type="dxa"/>
              <w:tblInd w:w="203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95"/>
              <w:gridCol w:w="2718"/>
            </w:tblGrid>
            <w:tr w:rsidR="009C60EA">
              <w:tc>
                <w:tcPr>
                  <w:tcW w:w="2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EEEEE"/>
                  <w:vAlign w:val="center"/>
                </w:tcPr>
                <w:p w:rsidR="009C60EA" w:rsidRDefault="00F307C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b/>
                      <w:color w:val="FF3333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3333"/>
                    </w:rPr>
                    <w:t>Classificação</w:t>
                  </w:r>
                </w:p>
              </w:tc>
              <w:tc>
                <w:tcPr>
                  <w:tcW w:w="2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EEE"/>
                  <w:vAlign w:val="center"/>
                </w:tcPr>
                <w:p w:rsidR="009C60EA" w:rsidRDefault="00F307C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b/>
                      <w:color w:val="FF3333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3333"/>
                    </w:rPr>
                    <w:t>Valor</w:t>
                  </w:r>
                </w:p>
              </w:tc>
            </w:tr>
            <w:tr w:rsidR="009C60EA">
              <w:tc>
                <w:tcPr>
                  <w:tcW w:w="24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C60EA" w:rsidRDefault="00F307C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color w:val="FF3333"/>
                    </w:rPr>
                  </w:pPr>
                  <w:r>
                    <w:rPr>
                      <w:rFonts w:ascii="Calibri" w:eastAsia="Calibri" w:hAnsi="Calibri" w:cs="Calibri"/>
                      <w:color w:val="FF3333"/>
                    </w:rPr>
                    <w:t>Baixo</w:t>
                  </w:r>
                </w:p>
              </w:tc>
              <w:tc>
                <w:tcPr>
                  <w:tcW w:w="27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C60EA" w:rsidRDefault="00F307C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color w:val="FF3333"/>
                    </w:rPr>
                  </w:pPr>
                  <w:r>
                    <w:rPr>
                      <w:rFonts w:ascii="Calibri" w:eastAsia="Calibri" w:hAnsi="Calibri" w:cs="Calibri"/>
                      <w:color w:val="FF3333"/>
                    </w:rPr>
                    <w:t>5</w:t>
                  </w:r>
                </w:p>
              </w:tc>
            </w:tr>
            <w:tr w:rsidR="009C60EA">
              <w:tc>
                <w:tcPr>
                  <w:tcW w:w="24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C60EA" w:rsidRDefault="00F307C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color w:val="FF3333"/>
                    </w:rPr>
                  </w:pPr>
                  <w:r>
                    <w:rPr>
                      <w:rFonts w:ascii="Calibri" w:eastAsia="Calibri" w:hAnsi="Calibri" w:cs="Calibri"/>
                      <w:color w:val="FF3333"/>
                    </w:rPr>
                    <w:t>Médio</w:t>
                  </w:r>
                </w:p>
              </w:tc>
              <w:tc>
                <w:tcPr>
                  <w:tcW w:w="27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C60EA" w:rsidRDefault="00F307C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color w:val="FF3333"/>
                    </w:rPr>
                  </w:pPr>
                  <w:r>
                    <w:rPr>
                      <w:rFonts w:ascii="Calibri" w:eastAsia="Calibri" w:hAnsi="Calibri" w:cs="Calibri"/>
                      <w:color w:val="FF3333"/>
                    </w:rPr>
                    <w:t>10</w:t>
                  </w:r>
                </w:p>
              </w:tc>
            </w:tr>
            <w:tr w:rsidR="009C60EA">
              <w:tc>
                <w:tcPr>
                  <w:tcW w:w="24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C60EA" w:rsidRDefault="00F307C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color w:val="FF3333"/>
                    </w:rPr>
                  </w:pPr>
                  <w:r>
                    <w:rPr>
                      <w:rFonts w:ascii="Calibri" w:eastAsia="Calibri" w:hAnsi="Calibri" w:cs="Calibri"/>
                      <w:color w:val="FF3333"/>
                    </w:rPr>
                    <w:t>Alto</w:t>
                  </w:r>
                </w:p>
              </w:tc>
              <w:tc>
                <w:tcPr>
                  <w:tcW w:w="27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C60EA" w:rsidRDefault="00F307C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color w:val="FF3333"/>
                    </w:rPr>
                  </w:pPr>
                  <w:r>
                    <w:rPr>
                      <w:rFonts w:ascii="Calibri" w:eastAsia="Calibri" w:hAnsi="Calibri" w:cs="Calibri"/>
                      <w:color w:val="FF3333"/>
                    </w:rPr>
                    <w:t>15</w:t>
                  </w:r>
                </w:p>
              </w:tc>
            </w:tr>
          </w:tbl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119"/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 xml:space="preserve">Tabela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: Escala de classificação de probabilidade e impacto.</w:t>
            </w:r>
          </w:p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0"/>
              <w:ind w:firstLine="283"/>
              <w:jc w:val="both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A tabela a seguir apresenta a Matriz Probabilidade x Impacto, instrumento de apoio para a definição dos critérios de classificação do nível de risco.</w:t>
            </w:r>
          </w:p>
          <w:p w:rsidR="009C60EA" w:rsidRDefault="00F307CF">
            <w:pPr>
              <w:ind w:firstLine="283"/>
              <w:jc w:val="center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>
                  <wp:extent cx="2476500" cy="164782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1647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ind w:firstLine="283"/>
              <w:jc w:val="both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Exemplo de diretrizes de tratamento de riscos:</w:t>
            </w:r>
          </w:p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ind w:firstLine="283"/>
              <w:jc w:val="both"/>
              <w:rPr>
                <w:rFonts w:ascii="Calibri" w:eastAsia="Calibri" w:hAnsi="Calibri" w:cs="Calibri"/>
                <w:i/>
                <w:color w:val="FF3333"/>
              </w:rPr>
            </w:pPr>
            <w:r>
              <w:rPr>
                <w:rFonts w:ascii="Calibri" w:eastAsia="Calibri" w:hAnsi="Calibri" w:cs="Calibri"/>
                <w:i/>
                <w:color w:val="FF3333"/>
              </w:rPr>
              <w:lastRenderedPageBreak/>
              <w:t>O produto da probabilidade pelo impacto de cada risco deve se enquadrar em uma região da matriz probabilidade x impacto. Caso o risco enquadre-se na região verde, seu nível de risco é entendido como baixo, log</w:t>
            </w:r>
            <w:r>
              <w:rPr>
                <w:rFonts w:ascii="Calibri" w:eastAsia="Calibri" w:hAnsi="Calibri" w:cs="Calibri"/>
                <w:i/>
                <w:color w:val="FF3333"/>
              </w:rPr>
              <w:t>o admite-se a aceitação ou adoção das medidas preventivas. Se estiver na região amarela, entende-se como médio; e se estiver na região vermelha, entende-se como nível de risco alto. Nos casos de riscos classificados como médio e alto, deve-se adotar obriga</w:t>
            </w:r>
            <w:r>
              <w:rPr>
                <w:rFonts w:ascii="Calibri" w:eastAsia="Calibri" w:hAnsi="Calibri" w:cs="Calibri"/>
                <w:i/>
                <w:color w:val="FF3333"/>
              </w:rPr>
              <w:t>toriamente as medidas preventivas previstas.</w:t>
            </w:r>
          </w:p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ind w:left="50" w:right="50" w:firstLine="300"/>
              <w:jc w:val="both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O gerenciamento de riscos deve ser realizado em harmonia com a Política de Gestão de Riscos do órgão prevista na Instrução Normativa Conjunta MP/CGU nº 1, de 10 de maio de 2016&gt;.</w:t>
            </w:r>
          </w:p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Referência: Art. 38 IN SGD/ME nº 1, de 2019.</w:t>
            </w:r>
          </w:p>
        </w:tc>
      </w:tr>
    </w:tbl>
    <w:p w:rsidR="009C60EA" w:rsidRDefault="009C60EA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jc w:val="both"/>
        <w:rPr>
          <w:rFonts w:ascii="Calibri" w:eastAsia="Calibri" w:hAnsi="Calibri" w:cs="Calibri"/>
        </w:rPr>
      </w:pPr>
    </w:p>
    <w:p w:rsidR="009C60EA" w:rsidRDefault="009C60EA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jc w:val="both"/>
        <w:rPr>
          <w:rFonts w:ascii="Calibri" w:eastAsia="Calibri" w:hAnsi="Calibri" w:cs="Calibri"/>
        </w:rPr>
      </w:pPr>
    </w:p>
    <w:tbl>
      <w:tblPr>
        <w:tblStyle w:val="a3"/>
        <w:tblW w:w="9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9C60E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C60EA" w:rsidRDefault="00F307CF">
            <w:p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– IDENTIFICAÇÃO E ANÁLISE DOS PRINCIPAIS RISCOS</w:t>
            </w:r>
          </w:p>
        </w:tc>
      </w:tr>
    </w:tbl>
    <w:p w:rsidR="009C60EA" w:rsidRDefault="009C60EA">
      <w:pPr>
        <w:spacing w:after="119"/>
        <w:jc w:val="both"/>
        <w:rPr>
          <w:rFonts w:ascii="Calibri" w:eastAsia="Calibri" w:hAnsi="Calibri" w:cs="Calibri"/>
          <w:strike/>
          <w:color w:val="FF3333"/>
        </w:rPr>
      </w:pPr>
    </w:p>
    <w:p w:rsidR="009C60EA" w:rsidRDefault="00F307CF">
      <w:pPr>
        <w:spacing w:after="11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tabela a seguir apresenta uma síntese dos riscos identificados e classificados neste documento.</w:t>
      </w:r>
    </w:p>
    <w:tbl>
      <w:tblPr>
        <w:tblStyle w:val="a4"/>
        <w:tblW w:w="9425" w:type="dxa"/>
        <w:tblInd w:w="-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4305"/>
        <w:gridCol w:w="2175"/>
        <w:gridCol w:w="465"/>
        <w:gridCol w:w="480"/>
        <w:gridCol w:w="1550"/>
      </w:tblGrid>
      <w:tr w:rsidR="009C60EA">
        <w:trPr>
          <w:trHeight w:val="5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Id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Risco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Relacionado ao(à):  </w:t>
            </w:r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  </w:t>
            </w:r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I  </w:t>
            </w:r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t>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Nível de Risco </w:t>
            </w:r>
          </w:p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(P x I)  </w:t>
            </w:r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t>4</w:t>
            </w:r>
          </w:p>
        </w:tc>
      </w:tr>
      <w:tr w:rsidR="009C60EA">
        <w:trPr>
          <w:trHeight w:val="35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jc w:val="both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&lt;Risco 1&gt;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9C6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9C6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9C6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0EA" w:rsidRDefault="009C6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9C60EA">
        <w:trPr>
          <w:trHeight w:val="35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jc w:val="both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&lt;Risco 2&gt;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9C6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9C6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9C6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0EA" w:rsidRDefault="009C6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9C60EA">
        <w:trPr>
          <w:trHeight w:val="35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jc w:val="both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&lt;Risco N&gt;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9C6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9C6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9C6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0EA" w:rsidRDefault="009C6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9C60EA" w:rsidRDefault="00F307CF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Legenda: P – Probabilidade; I – Impacto.</w:t>
      </w:r>
    </w:p>
    <w:p w:rsidR="009C60EA" w:rsidRDefault="00F307CF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  <w:vertAlign w:val="superscript"/>
        </w:rPr>
        <w:t>1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A qual natureza o risco está associado: fases do Processo da Contratação ou Solução Tecnológica. </w:t>
      </w:r>
    </w:p>
    <w:p w:rsidR="009C60EA" w:rsidRDefault="00F307CF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  <w:vertAlign w:val="superscript"/>
        </w:rPr>
        <w:t>2</w:t>
      </w:r>
      <w:r>
        <w:rPr>
          <w:rFonts w:ascii="Calibri" w:eastAsia="Calibri" w:hAnsi="Calibri" w:cs="Calibri"/>
          <w:i/>
          <w:sz w:val="20"/>
          <w:szCs w:val="20"/>
        </w:rPr>
        <w:t xml:space="preserve"> Probabilidade: chance de algo acontecer, não importando se definida, medida ou determinada objetiva ou subjetivamente, qualitativa ou quantitativamente, ou se descrita utilizando-se termos gerais ou matemáticos (ISO/IEC 31000:2009, item 2.19).</w:t>
      </w:r>
    </w:p>
    <w:p w:rsidR="009C60EA" w:rsidRDefault="00F307CF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  <w:vertAlign w:val="superscript"/>
        </w:rPr>
        <w:t>3</w:t>
      </w:r>
      <w:r>
        <w:rPr>
          <w:rFonts w:ascii="Calibri" w:eastAsia="Calibri" w:hAnsi="Calibri" w:cs="Calibri"/>
          <w:i/>
          <w:sz w:val="20"/>
          <w:szCs w:val="20"/>
        </w:rPr>
        <w:t xml:space="preserve"> Impacto: resultado de um evento que afeta os objetivos (ISO/IEC 31000:2009, item 2.18).</w:t>
      </w:r>
    </w:p>
    <w:p w:rsidR="009C60EA" w:rsidRDefault="00F307CF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  <w:vertAlign w:val="superscript"/>
        </w:rPr>
        <w:t>4</w:t>
      </w:r>
      <w:r>
        <w:rPr>
          <w:rFonts w:ascii="Calibri" w:eastAsia="Calibri" w:hAnsi="Calibri" w:cs="Calibri"/>
          <w:i/>
          <w:sz w:val="20"/>
          <w:szCs w:val="20"/>
        </w:rPr>
        <w:t xml:space="preserve"> Nível de Risco: magnitude de um risco ou combinação de riscos, expressa em termos da combinação das consequências e de suas probabilidades (ISO/IEC 31000:2009, item </w:t>
      </w:r>
      <w:r>
        <w:rPr>
          <w:rFonts w:ascii="Calibri" w:eastAsia="Calibri" w:hAnsi="Calibri" w:cs="Calibri"/>
          <w:i/>
          <w:sz w:val="20"/>
          <w:szCs w:val="20"/>
        </w:rPr>
        <w:t>2.23 e IN SGD/ME nº 1, de 2019, art. 2º, inciso XIII).</w:t>
      </w:r>
    </w:p>
    <w:p w:rsidR="009C60EA" w:rsidRDefault="009C60EA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i/>
          <w:sz w:val="20"/>
          <w:szCs w:val="20"/>
        </w:rPr>
      </w:pPr>
    </w:p>
    <w:p w:rsidR="009C60EA" w:rsidRDefault="00F307CF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i/>
          <w:color w:val="FF3333"/>
          <w:sz w:val="20"/>
          <w:szCs w:val="20"/>
        </w:rPr>
      </w:pPr>
      <w:r>
        <w:rPr>
          <w:rFonts w:ascii="Calibri" w:eastAsia="Calibri" w:hAnsi="Calibri" w:cs="Calibri"/>
          <w:i/>
          <w:color w:val="FF3333"/>
          <w:sz w:val="20"/>
          <w:szCs w:val="20"/>
        </w:rPr>
        <w:t>&lt;Lembrete: As probabilidades e Impactos são inicialmente definidos no item 3 – Avaliação e Tratamento dos Riscos Identificados e transferidos para a tabela acima para o cálculo dos níveis de risco&gt;.</w:t>
      </w:r>
    </w:p>
    <w:p w:rsidR="009C60EA" w:rsidRDefault="009C60EA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sz w:val="20"/>
          <w:szCs w:val="20"/>
        </w:rPr>
      </w:pPr>
    </w:p>
    <w:p w:rsidR="009C60EA" w:rsidRDefault="009C60EA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b/>
          <w:sz w:val="16"/>
          <w:szCs w:val="16"/>
        </w:rPr>
      </w:pPr>
    </w:p>
    <w:p w:rsidR="009C60EA" w:rsidRDefault="009C60EA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b/>
          <w:sz w:val="16"/>
          <w:szCs w:val="16"/>
        </w:rPr>
      </w:pPr>
    </w:p>
    <w:p w:rsidR="009C60EA" w:rsidRDefault="009C60EA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b/>
          <w:sz w:val="16"/>
          <w:szCs w:val="16"/>
        </w:rPr>
      </w:pPr>
    </w:p>
    <w:p w:rsidR="009C60EA" w:rsidRDefault="00F307CF">
      <w:pPr>
        <w:pBdr>
          <w:top w:val="nil"/>
          <w:left w:val="nil"/>
          <w:bottom w:val="nil"/>
          <w:right w:val="nil"/>
          <w:between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color w:val="FF3333"/>
        </w:rPr>
      </w:pPr>
      <w:r>
        <w:rPr>
          <w:rFonts w:ascii="Calibri" w:eastAsia="Calibri" w:hAnsi="Calibri" w:cs="Calibri"/>
          <w:color w:val="FF3333"/>
        </w:rPr>
        <w:t xml:space="preserve">&lt;A seguir encontra-se um </w:t>
      </w:r>
      <w:r>
        <w:rPr>
          <w:rFonts w:ascii="Calibri" w:eastAsia="Calibri" w:hAnsi="Calibri" w:cs="Calibri"/>
          <w:b/>
          <w:color w:val="FF3333"/>
        </w:rPr>
        <w:t>exemplo</w:t>
      </w:r>
      <w:r>
        <w:rPr>
          <w:rFonts w:ascii="Calibri" w:eastAsia="Calibri" w:hAnsi="Calibri" w:cs="Calibri"/>
          <w:color w:val="FF3333"/>
        </w:rPr>
        <w:t xml:space="preserve"> de relação de riscos, não exaustiva, de uma contratação de serviços de desenvolvimento e manutenção de software&gt;.</w:t>
      </w:r>
    </w:p>
    <w:p w:rsidR="009C60EA" w:rsidRDefault="009C60EA">
      <w:pPr>
        <w:pBdr>
          <w:top w:val="nil"/>
          <w:left w:val="nil"/>
          <w:bottom w:val="nil"/>
          <w:right w:val="nil"/>
          <w:between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</w:p>
    <w:tbl>
      <w:tblPr>
        <w:tblStyle w:val="a5"/>
        <w:tblW w:w="9420" w:type="dxa"/>
        <w:tblInd w:w="-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4713"/>
        <w:gridCol w:w="1767"/>
        <w:gridCol w:w="465"/>
        <w:gridCol w:w="480"/>
        <w:gridCol w:w="1545"/>
      </w:tblGrid>
      <w:tr w:rsidR="009C60EA">
        <w:trPr>
          <w:trHeight w:val="5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3333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Id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3333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Risco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3333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Relacionado ao(à):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3333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P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3333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3333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Nível de Risco</w:t>
            </w:r>
          </w:p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3333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(P x I)</w:t>
            </w:r>
          </w:p>
        </w:tc>
      </w:tr>
      <w:tr w:rsidR="009C60EA">
        <w:trPr>
          <w:trHeight w:val="35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R01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jc w:val="both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Alteração do escopo dos serviços a serem contratados.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00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50</w:t>
            </w:r>
          </w:p>
        </w:tc>
      </w:tr>
      <w:tr w:rsidR="009C60EA">
        <w:trPr>
          <w:trHeight w:val="35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R02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jc w:val="both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Não elaboração do Roteiro Próprio de Métricas de Software.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9C60EA">
        <w:trPr>
          <w:trHeight w:val="35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R03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jc w:val="both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Falta de clareza pelo requisitante quanto às demandas a serem desenvolvidas e manutenidas.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33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150</w:t>
            </w:r>
          </w:p>
        </w:tc>
      </w:tr>
      <w:tr w:rsidR="009C60EA">
        <w:trPr>
          <w:trHeight w:val="35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R04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jc w:val="both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Atraso no processo administrativo de contratação.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9C60EA">
        <w:trPr>
          <w:trHeight w:val="35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R05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jc w:val="both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Não publicação do Processo de Desenvolvimento de Software.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00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50</w:t>
            </w:r>
          </w:p>
        </w:tc>
      </w:tr>
      <w:tr w:rsidR="009C60EA">
        <w:trPr>
          <w:trHeight w:val="35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R06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jc w:val="both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 xml:space="preserve">Não elaboração dos </w:t>
            </w:r>
            <w:r>
              <w:rPr>
                <w:rFonts w:ascii="Calibri" w:eastAsia="Calibri" w:hAnsi="Calibri" w:cs="Calibri"/>
                <w:i/>
                <w:color w:val="FF3333"/>
                <w:sz w:val="20"/>
                <w:szCs w:val="20"/>
              </w:rPr>
              <w:t>templates</w:t>
            </w: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 xml:space="preserve"> dos documentos do Processo de Desenvolvimento de Software.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5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00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50</w:t>
            </w:r>
          </w:p>
        </w:tc>
      </w:tr>
      <w:tr w:rsidR="009C60EA">
        <w:trPr>
          <w:trHeight w:val="35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R07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jc w:val="both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Ausência de recursos orçamentários ou financeiros.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33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150</w:t>
            </w:r>
          </w:p>
        </w:tc>
      </w:tr>
      <w:tr w:rsidR="009C60EA">
        <w:trPr>
          <w:trHeight w:val="30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R08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jc w:val="both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Atraso ou suspensão no processo licitatório em face de impugnações.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Seleção do Fornecedor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33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150</w:t>
            </w:r>
          </w:p>
        </w:tc>
      </w:tr>
      <w:tr w:rsidR="009C60EA">
        <w:trPr>
          <w:trHeight w:val="30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R09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ind w:left="28"/>
              <w:jc w:val="both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Valores licitados superiores aos estimados para a contratação dos serviços.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Seleção do Fornecedor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75</w:t>
            </w:r>
          </w:p>
        </w:tc>
      </w:tr>
      <w:tr w:rsidR="009C60EA">
        <w:trPr>
          <w:trHeight w:val="273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R10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jc w:val="both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Falta de ferramenta própria para gestão de demandas de Fábrica de Software.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Gestão Contratual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33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225</w:t>
            </w:r>
          </w:p>
        </w:tc>
      </w:tr>
      <w:tr w:rsidR="009C60EA">
        <w:trPr>
          <w:trHeight w:val="2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R11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jc w:val="both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Baixa qualificação técnica dos profissionais da empresa para execução do contrato.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Gestão Contratual e Solução Tecnológica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9C60EA">
        <w:trPr>
          <w:trHeight w:val="264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R12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Indisponibilidade de sistemas por erro no desenvolvimento ou falha na aplicação.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Gestão Contratual e Solução Tecnológica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33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150</w:t>
            </w:r>
          </w:p>
        </w:tc>
      </w:tr>
      <w:tr w:rsidR="009C60EA">
        <w:trPr>
          <w:trHeight w:val="264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R13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Vazamento de dados e informações pelos funcionários da contratada.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Gestão Contratual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33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150</w:t>
            </w:r>
          </w:p>
        </w:tc>
      </w:tr>
      <w:tr w:rsidR="009C60EA">
        <w:trPr>
          <w:trHeight w:val="264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4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R14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Falta de ferramentas para controle do ciclo de desenvolvimento e manutenção de software (ferramenta de testes, repositório com versionamento, ferramenta de integração contínua, ferramenta de análise de qualidade de código).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Gestão Contratual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75</w:t>
            </w:r>
          </w:p>
        </w:tc>
      </w:tr>
      <w:tr w:rsidR="009C60EA">
        <w:trPr>
          <w:trHeight w:val="264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4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R15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Expedição de demandas (solicitações de execução do objeto) além da capacidade de controle e de fiscalização.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Gestão Contratual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33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225</w:t>
            </w:r>
          </w:p>
        </w:tc>
      </w:tr>
      <w:tr w:rsidR="009C60EA">
        <w:trPr>
          <w:trHeight w:val="264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4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R16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Qualificação técnica e operacional insuficiente dos Fiscais Técnicos do contrato.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Gestão Contratual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75</w:t>
            </w:r>
          </w:p>
        </w:tc>
      </w:tr>
    </w:tbl>
    <w:p w:rsidR="009C60EA" w:rsidRDefault="009C60EA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color w:val="FF3333"/>
          <w:sz w:val="20"/>
          <w:szCs w:val="20"/>
        </w:rPr>
      </w:pPr>
    </w:p>
    <w:p w:rsidR="009C60EA" w:rsidRDefault="009C60EA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b/>
        </w:rPr>
      </w:pPr>
    </w:p>
    <w:tbl>
      <w:tblPr>
        <w:tblStyle w:val="a6"/>
        <w:tblW w:w="9434" w:type="dxa"/>
        <w:tblInd w:w="-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4"/>
      </w:tblGrid>
      <w:tr w:rsidR="009C60EA"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C60EA" w:rsidRDefault="00F307CF">
            <w:p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3 – AVALIAÇÃO E TRATAMENTO DOS RISCOS IDENTIFICADOS</w:t>
            </w:r>
          </w:p>
        </w:tc>
      </w:tr>
    </w:tbl>
    <w:p w:rsidR="009C60EA" w:rsidRDefault="00F307CF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color w:val="FF3333"/>
        </w:rPr>
      </w:pPr>
      <w:r>
        <w:rPr>
          <w:rFonts w:ascii="Calibri" w:eastAsia="Calibri" w:hAnsi="Calibri" w:cs="Calibri"/>
          <w:color w:val="FF3333"/>
        </w:rPr>
        <w:t>&lt;Riscos do processo de contratação (planejamento, seleção de fornecedores e gestão do contrato), ou qualquer outro risco relevante relacionado à solução de Tecnologia da Informação e Comunicação identificados&gt;.</w:t>
      </w:r>
    </w:p>
    <w:p w:rsidR="009C60EA" w:rsidRDefault="00F307CF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color w:val="FF3333"/>
        </w:rPr>
      </w:pPr>
      <w:r>
        <w:rPr>
          <w:rFonts w:ascii="Calibri" w:eastAsia="Calibri" w:hAnsi="Calibri" w:cs="Calibri"/>
          <w:color w:val="FF3333"/>
        </w:rPr>
        <w:t>&lt;Para o tratamento de riscos, as seguintes op</w:t>
      </w:r>
      <w:r>
        <w:rPr>
          <w:rFonts w:ascii="Calibri" w:eastAsia="Calibri" w:hAnsi="Calibri" w:cs="Calibri"/>
          <w:color w:val="FF3333"/>
        </w:rPr>
        <w:t>ções podem ser selecionadas: evitar, reduzir ou mitigar, transferir ou compartilhar, e aceitar ou tolerar o risco&gt;.</w:t>
      </w:r>
    </w:p>
    <w:p w:rsidR="009C60EA" w:rsidRDefault="00F307CF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color w:val="FF3333"/>
        </w:rPr>
      </w:pPr>
      <w:r>
        <w:rPr>
          <w:rFonts w:ascii="Calibri" w:eastAsia="Calibri" w:hAnsi="Calibri" w:cs="Calibri"/>
          <w:color w:val="FF3333"/>
        </w:rPr>
        <w:t>&lt;A seguir são apresentados alguns riscos meramente exemplificativos&gt;.</w:t>
      </w:r>
    </w:p>
    <w:p w:rsidR="009C60EA" w:rsidRDefault="009C60EA">
      <w:pPr>
        <w:pBdr>
          <w:top w:val="nil"/>
          <w:left w:val="nil"/>
          <w:bottom w:val="nil"/>
          <w:right w:val="nil"/>
          <w:between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color w:val="FF3333"/>
        </w:rPr>
      </w:pPr>
    </w:p>
    <w:tbl>
      <w:tblPr>
        <w:tblStyle w:val="a7"/>
        <w:tblW w:w="9513" w:type="dxa"/>
        <w:tblInd w:w="-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525"/>
        <w:gridCol w:w="1150"/>
        <w:gridCol w:w="5275"/>
        <w:gridCol w:w="1813"/>
      </w:tblGrid>
      <w:tr w:rsidR="009C60EA"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Risco 08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Risco: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Atraso ou suspensão no processo licitatório em face de impugnações.</w:t>
            </w:r>
          </w:p>
        </w:tc>
      </w:tr>
      <w:tr w:rsidR="009C60EA"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60EA" w:rsidRDefault="009C6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Probabilidade: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Alta</w:t>
            </w:r>
          </w:p>
        </w:tc>
      </w:tr>
      <w:tr w:rsidR="009C60EA"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60EA" w:rsidRDefault="009C6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Impacto: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Médio</w:t>
            </w:r>
          </w:p>
        </w:tc>
      </w:tr>
      <w:tr w:rsidR="009C60EA"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60EA" w:rsidRDefault="009C6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Dano 1: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Atraso na contratação e consequente indisponibilidade de sistemas por falta de manutenção em funcionalidades, acarretando a insatisfação e prejuízos aos usuários dos sistemas.</w:t>
            </w:r>
          </w:p>
        </w:tc>
      </w:tr>
      <w:tr w:rsidR="009C60EA"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60EA" w:rsidRDefault="009C6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16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Tratamento:</w:t>
            </w:r>
          </w:p>
        </w:tc>
        <w:tc>
          <w:tcPr>
            <w:tcW w:w="70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Mitigar.</w:t>
            </w:r>
          </w:p>
        </w:tc>
      </w:tr>
      <w:tr w:rsidR="009C60EA"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60EA" w:rsidRDefault="009C6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Id</w:t>
            </w: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Ação Preventiva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Responsável</w:t>
            </w:r>
          </w:p>
        </w:tc>
      </w:tr>
      <w:tr w:rsidR="009C60EA"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60EA" w:rsidRDefault="009C6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1</w:t>
            </w: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Elaboração do planejamento da contratação consultando soluções similares em outros órgãos.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Equipe de</w:t>
            </w:r>
          </w:p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 w:right="10"/>
              <w:jc w:val="center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Planejamento da Contratação</w:t>
            </w:r>
          </w:p>
        </w:tc>
      </w:tr>
      <w:tr w:rsidR="009C60EA"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60EA" w:rsidRDefault="009C6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2</w:t>
            </w: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Definição dos critérios de seleção de fornecedores com respaldo na jurisprudência dos órgãos de controle.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Equipe de</w:t>
            </w:r>
          </w:p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 w:right="10"/>
              <w:jc w:val="center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Planejamento da Contratação</w:t>
            </w:r>
          </w:p>
        </w:tc>
      </w:tr>
      <w:tr w:rsidR="009C60EA"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60EA" w:rsidRDefault="009C6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70" w:type="dxa"/>
            </w:tcMar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3</w:t>
            </w:r>
          </w:p>
        </w:tc>
        <w:tc>
          <w:tcPr>
            <w:tcW w:w="6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70" w:type="dxa"/>
            </w:tcMar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Verificação do teor de impugnações e recursos em contrações similares.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70" w:type="dxa"/>
            </w:tcMar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Equipe de</w:t>
            </w:r>
          </w:p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 w:right="12"/>
              <w:jc w:val="center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Planejamento da Contratação</w:t>
            </w:r>
          </w:p>
        </w:tc>
      </w:tr>
      <w:tr w:rsidR="009C60EA"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60EA" w:rsidRDefault="009C6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70" w:type="dxa"/>
            </w:tcMar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4</w:t>
            </w: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70" w:type="dxa"/>
            </w:tcMar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Estrita observância às recomendações da área jurídica do órgão/entidade.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70" w:type="dxa"/>
            </w:tcMar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Equipe de</w:t>
            </w:r>
          </w:p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 w:right="12"/>
              <w:jc w:val="center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Planejamento da Contratação</w:t>
            </w:r>
          </w:p>
        </w:tc>
      </w:tr>
      <w:tr w:rsidR="009C60EA"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60EA" w:rsidRDefault="009C6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right w:w="70" w:type="dxa"/>
            </w:tcMar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Id</w:t>
            </w: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right w:w="70" w:type="dxa"/>
            </w:tcMar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Ação de Contingência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right w:w="70" w:type="dxa"/>
            </w:tcMar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Responsável</w:t>
            </w:r>
          </w:p>
        </w:tc>
      </w:tr>
      <w:tr w:rsidR="009C60EA"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60EA" w:rsidRDefault="009C6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70" w:type="dxa"/>
            </w:tcMar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1</w:t>
            </w: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70" w:type="dxa"/>
            </w:tcMar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Alocação integral da Equipe de Planejamento da Contratação na resposta e mitigação das causas que originaram a suspensão do processo licitatório.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70" w:type="dxa"/>
            </w:tcMar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XXXXX</w:t>
            </w:r>
          </w:p>
        </w:tc>
      </w:tr>
      <w:tr w:rsidR="009C60EA"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60EA" w:rsidRDefault="009C6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70" w:type="dxa"/>
            </w:tcMar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2</w:t>
            </w: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70" w:type="dxa"/>
            </w:tcMar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Mitigação e eliminação das causas que obstruem o processo licitatório.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70" w:type="dxa"/>
            </w:tcMar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XXXXX</w:t>
            </w:r>
          </w:p>
        </w:tc>
      </w:tr>
    </w:tbl>
    <w:p w:rsidR="009C60EA" w:rsidRDefault="009C60EA"/>
    <w:tbl>
      <w:tblPr>
        <w:tblStyle w:val="a8"/>
        <w:tblW w:w="9488" w:type="dxa"/>
        <w:tblInd w:w="-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425"/>
        <w:gridCol w:w="1262"/>
        <w:gridCol w:w="5438"/>
        <w:gridCol w:w="1625"/>
      </w:tblGrid>
      <w:tr w:rsidR="009C60EA"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 xml:space="preserve">Risco </w:t>
            </w:r>
            <w:r>
              <w:rPr>
                <w:rFonts w:ascii="Calibri" w:eastAsia="Calibri" w:hAnsi="Calibri" w:cs="Calibri"/>
                <w:b/>
                <w:color w:val="FF3333"/>
              </w:rPr>
              <w:lastRenderedPageBreak/>
              <w:t>15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lastRenderedPageBreak/>
              <w:t>Risco:</w:t>
            </w:r>
          </w:p>
        </w:tc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 xml:space="preserve">Expedição de demandas (solicitações de execução do objeto) além da </w:t>
            </w:r>
            <w:r>
              <w:rPr>
                <w:rFonts w:ascii="Calibri" w:eastAsia="Calibri" w:hAnsi="Calibri" w:cs="Calibri"/>
                <w:color w:val="FF3333"/>
              </w:rPr>
              <w:lastRenderedPageBreak/>
              <w:t>capacidade de controle e de fiscalização.</w:t>
            </w:r>
          </w:p>
        </w:tc>
      </w:tr>
      <w:tr w:rsidR="009C60EA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60EA" w:rsidRDefault="009C6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Probabilidade:</w:t>
            </w:r>
          </w:p>
        </w:tc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Alta</w:t>
            </w:r>
          </w:p>
        </w:tc>
      </w:tr>
      <w:tr w:rsidR="009C60EA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60EA" w:rsidRDefault="009C6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Impacto:</w:t>
            </w:r>
          </w:p>
        </w:tc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Alto</w:t>
            </w:r>
          </w:p>
        </w:tc>
      </w:tr>
      <w:tr w:rsidR="009C60EA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60EA" w:rsidRDefault="009C6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Dano 1:</w:t>
            </w:r>
          </w:p>
        </w:tc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Sobrecarga de trabalho para os fiscais do contrato.</w:t>
            </w:r>
          </w:p>
        </w:tc>
      </w:tr>
      <w:tr w:rsidR="009C60EA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60EA" w:rsidRDefault="009C6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Dano 2:</w:t>
            </w:r>
          </w:p>
        </w:tc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Fragilidades na gestão e fiscalização contratual, que geraram atestes errados dos resultados entregues e risco de pagamentos indevidos à empresa.</w:t>
            </w:r>
          </w:p>
        </w:tc>
      </w:tr>
      <w:tr w:rsidR="009C60EA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60EA" w:rsidRDefault="009C6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Dano 3:</w:t>
            </w:r>
          </w:p>
        </w:tc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Falta de atendimento ou atraso no atendimento das demandas de desenvolvimento e manutenção de sistemas e portais.</w:t>
            </w:r>
          </w:p>
        </w:tc>
      </w:tr>
      <w:tr w:rsidR="009C60EA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60EA" w:rsidRDefault="009C6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Dano 4:</w:t>
            </w:r>
          </w:p>
        </w:tc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 xml:space="preserve">Execução de projetos de sistemas (novos e manutenção) e portais sem acompanhamento da área de TIC ou com acompanhamento por pessoal </w:t>
            </w:r>
            <w:r>
              <w:rPr>
                <w:rFonts w:ascii="Calibri" w:eastAsia="Calibri" w:hAnsi="Calibri" w:cs="Calibri"/>
                <w:color w:val="FF3333"/>
              </w:rPr>
              <w:t>sem a qualificação adequada, acarretando má qualidade nos produtos e documentação entregues.</w:t>
            </w:r>
          </w:p>
        </w:tc>
      </w:tr>
      <w:tr w:rsidR="009C60EA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60EA" w:rsidRDefault="009C6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Dano 5:</w:t>
            </w:r>
          </w:p>
        </w:tc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Fragilidade do processo de gestão de requisitos.</w:t>
            </w:r>
          </w:p>
        </w:tc>
      </w:tr>
      <w:tr w:rsidR="009C60EA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60EA" w:rsidRDefault="009C6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Dano 6:</w:t>
            </w:r>
          </w:p>
        </w:tc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Inconformidade com o item 10 da Portaria STI/MP nº 20, de 2016, que consta: “O órgão deve avaliar, durante a fase de Planejamento da Contratação, se dispõe de servidores em quantidade e capacidade suficientes para a fiscalização de todos os controles, acom</w:t>
            </w:r>
            <w:r>
              <w:rPr>
                <w:rFonts w:ascii="Calibri" w:eastAsia="Calibri" w:hAnsi="Calibri" w:cs="Calibri"/>
                <w:color w:val="FF3333"/>
              </w:rPr>
              <w:t>panhamento processual e demais atividades necessárias à aferição das exigências contratuais. Caso não haja servidores suficientes, o órgão deve abster-se de contratar.”</w:t>
            </w:r>
          </w:p>
        </w:tc>
      </w:tr>
      <w:tr w:rsidR="009C60EA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60EA" w:rsidRDefault="009C6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16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Tratamento:</w:t>
            </w:r>
          </w:p>
        </w:tc>
        <w:tc>
          <w:tcPr>
            <w:tcW w:w="70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Mitigar.</w:t>
            </w:r>
          </w:p>
        </w:tc>
      </w:tr>
      <w:tr w:rsidR="009C60EA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60EA" w:rsidRDefault="009C6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Id</w:t>
            </w:r>
          </w:p>
        </w:tc>
        <w:tc>
          <w:tcPr>
            <w:tcW w:w="6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Ação Preventiva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Responsável</w:t>
            </w:r>
          </w:p>
        </w:tc>
      </w:tr>
      <w:tr w:rsidR="009C60EA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C60EA" w:rsidRDefault="009C6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1</w:t>
            </w:r>
          </w:p>
        </w:tc>
        <w:tc>
          <w:tcPr>
            <w:tcW w:w="6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Providenciar capacitação em métricas de software para servidores do órgão/entidade que atuam como fiscais de contrato.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Chefia da CGTI</w:t>
            </w:r>
          </w:p>
        </w:tc>
      </w:tr>
      <w:tr w:rsidR="009C60EA"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right w:w="70" w:type="dxa"/>
            </w:tcMar>
          </w:tcPr>
          <w:p w:rsidR="009C60EA" w:rsidRDefault="009C60EA">
            <w:pPr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70" w:type="dxa"/>
            </w:tcMar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2</w:t>
            </w:r>
          </w:p>
        </w:tc>
        <w:tc>
          <w:tcPr>
            <w:tcW w:w="6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70" w:type="dxa"/>
            </w:tcMar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Priorizar as demandas de software a serem desenvolvidas.</w:t>
            </w:r>
          </w:p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(Referência: Portaria STI/MP nº 20/2016, item 19.1 – O Comitê de Governança Digital é responsável pela validação e priorização de cada software a ser desenvolvido e deve deliberar e decidir sobre sua viabilidade e desenvolvimento antes de sua contratação o</w:t>
            </w:r>
            <w:r>
              <w:rPr>
                <w:rFonts w:ascii="Calibri" w:eastAsia="Calibri" w:hAnsi="Calibri" w:cs="Calibri"/>
                <w:color w:val="FF3333"/>
              </w:rPr>
              <w:t>u antes que a demanda seja enviada à empresa contratada por meio de OS).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70" w:type="dxa"/>
            </w:tcMar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Comitê de Governança Digital (CGD)</w:t>
            </w:r>
          </w:p>
        </w:tc>
      </w:tr>
      <w:tr w:rsidR="009C60EA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right w:w="70" w:type="dxa"/>
            </w:tcMar>
          </w:tcPr>
          <w:p w:rsidR="009C60EA" w:rsidRDefault="009C6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right w:w="70" w:type="dxa"/>
            </w:tcMar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Id</w:t>
            </w:r>
          </w:p>
        </w:tc>
        <w:tc>
          <w:tcPr>
            <w:tcW w:w="6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right w:w="70" w:type="dxa"/>
            </w:tcMar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Ação de Contingência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right w:w="70" w:type="dxa"/>
            </w:tcMar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Responsável</w:t>
            </w:r>
          </w:p>
        </w:tc>
      </w:tr>
      <w:tr w:rsidR="009C60EA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right w:w="70" w:type="dxa"/>
            </w:tcMar>
          </w:tcPr>
          <w:p w:rsidR="009C60EA" w:rsidRDefault="009C6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70" w:type="dxa"/>
            </w:tcMar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1</w:t>
            </w:r>
          </w:p>
        </w:tc>
        <w:tc>
          <w:tcPr>
            <w:tcW w:w="6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70" w:type="dxa"/>
            </w:tcMar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Redução da emissão de Ordens de Serviço.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70" w:type="dxa"/>
            </w:tcMar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34" w:hanging="60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 xml:space="preserve">Comitê de Gov. Digital e </w:t>
            </w:r>
          </w:p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34" w:hanging="60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CGTI</w:t>
            </w:r>
          </w:p>
        </w:tc>
      </w:tr>
      <w:tr w:rsidR="009C60E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right w:w="70" w:type="dxa"/>
            </w:tcMar>
          </w:tcPr>
          <w:p w:rsidR="009C60EA" w:rsidRDefault="009C6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70" w:type="dxa"/>
            </w:tcMar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2</w:t>
            </w:r>
          </w:p>
        </w:tc>
        <w:tc>
          <w:tcPr>
            <w:tcW w:w="6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70" w:type="dxa"/>
            </w:tcMar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Implantação de controles internos, como a realização de estudo da capacidade de execução de demandas de fábrica de software pela área de TI, a fim de compatibilizar as demandas de serviços à fábrica de software com a força de trabalho disponível para geren</w:t>
            </w:r>
            <w:r>
              <w:rPr>
                <w:rFonts w:ascii="Calibri" w:eastAsia="Calibri" w:hAnsi="Calibri" w:cs="Calibri"/>
                <w:color w:val="FF3333"/>
              </w:rPr>
              <w:t>ciar e validar adequadamente os serviços entregues.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70" w:type="dxa"/>
            </w:tcMar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34" w:hanging="60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Comitê de Governança Digital e Chefia da</w:t>
            </w:r>
          </w:p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CGTI</w:t>
            </w:r>
          </w:p>
        </w:tc>
      </w:tr>
    </w:tbl>
    <w:p w:rsidR="009C60EA" w:rsidRDefault="00F307CF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jc w:val="both"/>
        <w:rPr>
          <w:rFonts w:ascii="Calibri" w:eastAsia="Calibri" w:hAnsi="Calibri" w:cs="Calibri"/>
          <w:color w:val="FF3333"/>
        </w:rPr>
      </w:pPr>
      <w:r>
        <w:rPr>
          <w:rFonts w:ascii="Calibri" w:eastAsia="Calibri" w:hAnsi="Calibri" w:cs="Calibri"/>
          <w:color w:val="FF3333"/>
        </w:rPr>
        <w:t>&lt;Inclusão de outros riscos e sua análise&gt;.</w:t>
      </w:r>
    </w:p>
    <w:p w:rsidR="009C60EA" w:rsidRDefault="009C60EA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jc w:val="both"/>
        <w:rPr>
          <w:rFonts w:ascii="Calibri" w:eastAsia="Calibri" w:hAnsi="Calibri" w:cs="Calibri"/>
          <w:color w:val="FF3333"/>
        </w:rPr>
      </w:pPr>
    </w:p>
    <w:p w:rsidR="009C60EA" w:rsidRDefault="009C60EA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jc w:val="both"/>
        <w:rPr>
          <w:rFonts w:ascii="Calibri" w:eastAsia="Calibri" w:hAnsi="Calibri" w:cs="Calibri"/>
          <w:color w:val="0000FF"/>
        </w:rPr>
      </w:pPr>
    </w:p>
    <w:tbl>
      <w:tblPr>
        <w:tblStyle w:val="a9"/>
        <w:tblW w:w="9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9C60E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C60EA" w:rsidRDefault="00F307CF">
            <w:p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 – ACOMPANHAMENTO DAS AÇÕES DE TRATAMENTO DE RISCOS</w:t>
            </w:r>
          </w:p>
        </w:tc>
      </w:tr>
    </w:tbl>
    <w:p w:rsidR="009C60EA" w:rsidRDefault="00F307CF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ind w:left="14"/>
        <w:jc w:val="both"/>
        <w:rPr>
          <w:rFonts w:ascii="Calibri" w:eastAsia="Calibri" w:hAnsi="Calibri" w:cs="Calibri"/>
          <w:color w:val="FF3333"/>
        </w:rPr>
      </w:pPr>
      <w:r>
        <w:rPr>
          <w:rFonts w:ascii="Calibri" w:eastAsia="Calibri" w:hAnsi="Calibri" w:cs="Calibri"/>
          <w:color w:val="FF3333"/>
        </w:rPr>
        <w:t>&lt;Espaço para registro e acompanhamento das ações de tratamento dos riscos, que poderá conter eventos relevantes relacionados ao gerenciamento de riscos, conforme exemplo abaixo&gt;.</w:t>
      </w:r>
    </w:p>
    <w:tbl>
      <w:tblPr>
        <w:tblStyle w:val="aa"/>
        <w:tblW w:w="9363" w:type="dxa"/>
        <w:tblInd w:w="-1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1000"/>
        <w:gridCol w:w="987"/>
        <w:gridCol w:w="6288"/>
      </w:tblGrid>
      <w:tr w:rsidR="009C60EA">
        <w:trPr>
          <w:trHeight w:val="363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Id. Risco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Id. Ação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Registro e acompanhamento das ações de tratamento dos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riscos</w:t>
            </w:r>
          </w:p>
        </w:tc>
      </w:tr>
      <w:tr w:rsidR="009C60EA">
        <w:trPr>
          <w:trHeight w:val="357"/>
        </w:trPr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jc w:val="both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XX/XX/2019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R15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P2</w:t>
            </w:r>
          </w:p>
        </w:tc>
        <w:tc>
          <w:tcPr>
            <w:tcW w:w="6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O Comitê de Governança Digital se reuniu em XX/XX/2019 e deliberou quanto à lista dos sistemas prioritários a terem suas demandas executadas pela empresa de desenvolvimento de software.</w:t>
            </w:r>
          </w:p>
        </w:tc>
      </w:tr>
      <w:tr w:rsidR="009C60EA">
        <w:trPr>
          <w:trHeight w:val="357"/>
        </w:trPr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9C60EA">
            <w:pPr>
              <w:jc w:val="both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9C6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9C6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0EA" w:rsidRDefault="009C6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9C60EA">
        <w:trPr>
          <w:trHeight w:val="357"/>
        </w:trPr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9C60EA">
            <w:pPr>
              <w:jc w:val="both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9C6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EA" w:rsidRDefault="009C6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0EA" w:rsidRDefault="009C6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9C60EA" w:rsidRDefault="009C60EA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ind w:left="14"/>
        <w:jc w:val="both"/>
        <w:rPr>
          <w:rFonts w:ascii="Calibri" w:eastAsia="Calibri" w:hAnsi="Calibri" w:cs="Calibri"/>
          <w:color w:val="0000FF"/>
        </w:rPr>
      </w:pPr>
    </w:p>
    <w:tbl>
      <w:tblPr>
        <w:tblStyle w:val="ab"/>
        <w:tblW w:w="9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9C60E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C60EA" w:rsidRDefault="00F307CF">
            <w:p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 – APROVAÇÃO E ASSINATURA</w:t>
            </w:r>
          </w:p>
        </w:tc>
      </w:tr>
    </w:tbl>
    <w:p w:rsidR="009C60EA" w:rsidRDefault="00F307C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Conforme § 5º do art. 38 da IN SGD/ME nº 1, de 2019, o Mapa de Gerenciamento de Riscos deve ser assinado pela Equipe de Planejamento da Contratação, nas fases de Planejamento da Contratação e de Seleção de Fornecedores, e pela Equipe de Fiscalização do Con</w:t>
      </w:r>
      <w:r>
        <w:rPr>
          <w:rFonts w:ascii="Calibri" w:eastAsia="Calibri" w:hAnsi="Calibri" w:cs="Calibri"/>
          <w:color w:val="000000"/>
        </w:rPr>
        <w:t>trato, na fase de Gestão do Contrato.</w:t>
      </w:r>
    </w:p>
    <w:p w:rsidR="009C60EA" w:rsidRDefault="00F307C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FF3333"/>
        </w:rPr>
      </w:pPr>
      <w:r>
        <w:rPr>
          <w:rFonts w:ascii="Calibri" w:eastAsia="Calibri" w:hAnsi="Calibri" w:cs="Calibri"/>
          <w:color w:val="FF3333"/>
        </w:rPr>
        <w:t>&lt;Para as fases de Planejamento da Contratação e de Seleção de Fornecedores:</w:t>
      </w:r>
    </w:p>
    <w:p w:rsidR="009C60EA" w:rsidRDefault="00F307CF">
      <w:pPr>
        <w:pBdr>
          <w:top w:val="nil"/>
          <w:left w:val="nil"/>
          <w:bottom w:val="nil"/>
          <w:right w:val="nil"/>
          <w:between w:val="nil"/>
        </w:pBdr>
        <w:spacing w:after="120"/>
        <w:ind w:left="1008"/>
        <w:jc w:val="both"/>
        <w:rPr>
          <w:color w:val="000000"/>
        </w:rPr>
      </w:pPr>
      <w:r>
        <w:rPr>
          <w:rFonts w:ascii="Calibri" w:eastAsia="Calibri" w:hAnsi="Calibri" w:cs="Calibri"/>
          <w:color w:val="FF3333"/>
        </w:rPr>
        <w:t>A Equipe de Planejamento da Contratação foi instituída pela Portaria nº XXX, de &lt;dia&gt; de &lt;mês&gt; de &lt;ano&gt; (ou outro instrumento equivalente de f</w:t>
      </w:r>
      <w:r>
        <w:rPr>
          <w:rFonts w:ascii="Calibri" w:eastAsia="Calibri" w:hAnsi="Calibri" w:cs="Calibri"/>
          <w:color w:val="FF3333"/>
        </w:rPr>
        <w:t>ormalização)&gt;.</w:t>
      </w:r>
    </w:p>
    <w:p w:rsidR="009C60EA" w:rsidRDefault="009C60EA">
      <w:pPr>
        <w:pBdr>
          <w:top w:val="nil"/>
          <w:left w:val="nil"/>
          <w:bottom w:val="nil"/>
          <w:right w:val="nil"/>
          <w:between w:val="nil"/>
        </w:pBdr>
        <w:spacing w:after="120"/>
        <w:ind w:left="1008"/>
        <w:jc w:val="both"/>
        <w:rPr>
          <w:color w:val="000000"/>
        </w:rPr>
      </w:pPr>
    </w:p>
    <w:tbl>
      <w:tblPr>
        <w:tblStyle w:val="ac"/>
        <w:tblW w:w="9363" w:type="dxa"/>
        <w:tblInd w:w="-17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0"/>
        <w:gridCol w:w="2963"/>
        <w:gridCol w:w="3150"/>
      </w:tblGrid>
      <w:tr w:rsidR="009C60EA"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0EA" w:rsidRDefault="009C6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____________________</w:t>
            </w:r>
          </w:p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Integrante</w:t>
            </w:r>
          </w:p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Requisitante</w:t>
            </w:r>
          </w:p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  <w:t>&lt;Nome&gt;</w:t>
            </w:r>
          </w:p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  <w:t>&lt;Cargo&gt;</w:t>
            </w:r>
          </w:p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333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  <w:t>&lt;Matrícula&gt;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0EA" w:rsidRDefault="009C6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____________________</w:t>
            </w:r>
          </w:p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Integrante</w:t>
            </w:r>
          </w:p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Técnico</w:t>
            </w:r>
          </w:p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  <w:t>&lt;Nome&gt;</w:t>
            </w:r>
          </w:p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  <w:t>&lt;Cargo&gt;</w:t>
            </w:r>
          </w:p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i/>
                <w:color w:val="FF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FF333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  <w:t>&lt;Matrícula&gt;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60EA" w:rsidRDefault="009C6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____________________</w:t>
            </w:r>
          </w:p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Integrante</w:t>
            </w:r>
          </w:p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Administrativo</w:t>
            </w:r>
          </w:p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  <w:t>&lt;Nome&gt;</w:t>
            </w:r>
          </w:p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  <w:t>&lt;Cargo&gt;</w:t>
            </w:r>
          </w:p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i/>
                <w:color w:val="FF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FF333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  <w:t>&lt;Matrícula&gt;</w:t>
            </w:r>
          </w:p>
        </w:tc>
      </w:tr>
    </w:tbl>
    <w:p w:rsidR="009C60EA" w:rsidRDefault="00F307CF">
      <w:pPr>
        <w:pBdr>
          <w:top w:val="nil"/>
          <w:left w:val="nil"/>
          <w:bottom w:val="nil"/>
          <w:right w:val="nil"/>
          <w:between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right"/>
        <w:rPr>
          <w:rFonts w:ascii="Calibri" w:eastAsia="Calibri" w:hAnsi="Calibri" w:cs="Calibri"/>
          <w:color w:val="FF3333"/>
        </w:rPr>
      </w:pPr>
      <w:r>
        <w:rPr>
          <w:rFonts w:ascii="Calibri" w:eastAsia="Calibri" w:hAnsi="Calibri" w:cs="Calibri"/>
          <w:color w:val="FF3333"/>
        </w:rPr>
        <w:t>&lt;Local&gt;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FF3333"/>
        </w:rPr>
        <w:t xml:space="preserve"> &lt;dia&gt; </w:t>
      </w:r>
      <w:r>
        <w:rPr>
          <w:rFonts w:ascii="Calibri" w:eastAsia="Calibri" w:hAnsi="Calibri" w:cs="Calibri"/>
          <w:color w:val="000000"/>
        </w:rPr>
        <w:t>de</w:t>
      </w:r>
      <w:r>
        <w:rPr>
          <w:rFonts w:ascii="Calibri" w:eastAsia="Calibri" w:hAnsi="Calibri" w:cs="Calibri"/>
          <w:color w:val="FF3333"/>
        </w:rPr>
        <w:t xml:space="preserve"> &lt;mês&gt; </w:t>
      </w:r>
      <w:r>
        <w:rPr>
          <w:rFonts w:ascii="Calibri" w:eastAsia="Calibri" w:hAnsi="Calibri" w:cs="Calibri"/>
          <w:color w:val="000000"/>
        </w:rPr>
        <w:t>de</w:t>
      </w:r>
      <w:r>
        <w:rPr>
          <w:rFonts w:ascii="Calibri" w:eastAsia="Calibri" w:hAnsi="Calibri" w:cs="Calibri"/>
          <w:color w:val="FF3333"/>
        </w:rPr>
        <w:t xml:space="preserve"> &lt;ano&gt;</w:t>
      </w:r>
    </w:p>
    <w:p w:rsidR="009C60EA" w:rsidRDefault="009C60EA">
      <w:pPr>
        <w:pBdr>
          <w:top w:val="nil"/>
          <w:left w:val="nil"/>
          <w:bottom w:val="nil"/>
          <w:right w:val="nil"/>
          <w:between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right"/>
        <w:rPr>
          <w:rFonts w:ascii="Calibri" w:eastAsia="Calibri" w:hAnsi="Calibri" w:cs="Calibri"/>
          <w:color w:val="FF3333"/>
        </w:rPr>
      </w:pPr>
    </w:p>
    <w:p w:rsidR="009C60EA" w:rsidRDefault="009C60EA">
      <w:pPr>
        <w:pBdr>
          <w:top w:val="nil"/>
          <w:left w:val="nil"/>
          <w:bottom w:val="nil"/>
          <w:right w:val="nil"/>
          <w:between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color w:val="FF3333"/>
        </w:rPr>
      </w:pPr>
    </w:p>
    <w:p w:rsidR="009C60EA" w:rsidRDefault="009C60EA">
      <w:pPr>
        <w:pBdr>
          <w:top w:val="nil"/>
          <w:left w:val="nil"/>
          <w:bottom w:val="nil"/>
          <w:right w:val="nil"/>
          <w:between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color w:val="FF3333"/>
        </w:rPr>
      </w:pPr>
    </w:p>
    <w:p w:rsidR="009C60EA" w:rsidRDefault="009C60EA">
      <w:pPr>
        <w:pBdr>
          <w:top w:val="nil"/>
          <w:left w:val="nil"/>
          <w:bottom w:val="nil"/>
          <w:right w:val="nil"/>
          <w:between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color w:val="FF3333"/>
        </w:rPr>
      </w:pPr>
    </w:p>
    <w:p w:rsidR="009C60EA" w:rsidRDefault="00F307CF">
      <w:pPr>
        <w:pBdr>
          <w:top w:val="nil"/>
          <w:left w:val="nil"/>
          <w:bottom w:val="nil"/>
          <w:right w:val="nil"/>
          <w:between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color w:val="FF3333"/>
        </w:rPr>
      </w:pPr>
      <w:r>
        <w:rPr>
          <w:rFonts w:ascii="Calibri" w:eastAsia="Calibri" w:hAnsi="Calibri" w:cs="Calibri"/>
          <w:color w:val="FF3333"/>
        </w:rPr>
        <w:t>&lt;Para a fase de Gestão do Contratos:</w:t>
      </w:r>
    </w:p>
    <w:p w:rsidR="009C60EA" w:rsidRDefault="00F307CF">
      <w:pPr>
        <w:pBdr>
          <w:top w:val="nil"/>
          <w:left w:val="nil"/>
          <w:bottom w:val="nil"/>
          <w:right w:val="nil"/>
          <w:between w:val="nil"/>
        </w:pBdr>
        <w:spacing w:after="120"/>
        <w:ind w:left="1008"/>
        <w:jc w:val="both"/>
        <w:rPr>
          <w:rFonts w:ascii="Calibri" w:eastAsia="Calibri" w:hAnsi="Calibri" w:cs="Calibri"/>
          <w:color w:val="FF3333"/>
        </w:rPr>
      </w:pPr>
      <w:r>
        <w:rPr>
          <w:rFonts w:ascii="Calibri" w:eastAsia="Calibri" w:hAnsi="Calibri" w:cs="Calibri"/>
          <w:color w:val="FF3333"/>
        </w:rPr>
        <w:t>A Equipe de Fiscalização do Contrato foi instituída pela Portaria nº XXX, de &lt;dia&gt; de &lt;mês&gt; de &lt;ano&gt; (ou outro instrumento equivalente de formalização)&gt;.</w:t>
      </w:r>
    </w:p>
    <w:p w:rsidR="009C60EA" w:rsidRDefault="009C60E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</w:rPr>
      </w:pPr>
    </w:p>
    <w:tbl>
      <w:tblPr>
        <w:tblStyle w:val="ad"/>
        <w:tblW w:w="9363" w:type="dxa"/>
        <w:tblInd w:w="-17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0"/>
        <w:gridCol w:w="2963"/>
        <w:gridCol w:w="3150"/>
      </w:tblGrid>
      <w:tr w:rsidR="009C60EA"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0EA" w:rsidRDefault="009C6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____________________</w:t>
            </w:r>
          </w:p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Fiscal</w:t>
            </w:r>
          </w:p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Requisitante</w:t>
            </w:r>
          </w:p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  <w:t>&lt;Nome&gt;</w:t>
            </w:r>
          </w:p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  <w:t>&lt;Cargo&gt;</w:t>
            </w:r>
          </w:p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333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  <w:t>&lt;Matrícula&gt;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0EA" w:rsidRDefault="009C6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____________________</w:t>
            </w:r>
          </w:p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Fiscal</w:t>
            </w:r>
          </w:p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Técnico</w:t>
            </w:r>
          </w:p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  <w:t>&lt;Nome&gt;</w:t>
            </w:r>
          </w:p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  <w:t>&lt;Cargo&gt;</w:t>
            </w:r>
          </w:p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i/>
                <w:color w:val="FF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FF333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  <w:t>&lt;Matrícula&gt;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60EA" w:rsidRDefault="009C6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____________________</w:t>
            </w:r>
          </w:p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Fiscal</w:t>
            </w:r>
          </w:p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Administrativo</w:t>
            </w:r>
          </w:p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  <w:t>&lt;Nome&gt;</w:t>
            </w:r>
          </w:p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  <w:t>&lt;Cargo&gt;</w:t>
            </w:r>
          </w:p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i/>
                <w:color w:val="FF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FF333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  <w:t>&lt;Matrícula&gt;</w:t>
            </w:r>
          </w:p>
        </w:tc>
      </w:tr>
    </w:tbl>
    <w:p w:rsidR="009C60EA" w:rsidRDefault="009C60EA">
      <w:pPr>
        <w:pBdr>
          <w:top w:val="nil"/>
          <w:left w:val="nil"/>
          <w:bottom w:val="nil"/>
          <w:right w:val="nil"/>
          <w:between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right"/>
        <w:rPr>
          <w:color w:val="000000"/>
        </w:rPr>
      </w:pPr>
    </w:p>
    <w:tbl>
      <w:tblPr>
        <w:tblStyle w:val="ae"/>
        <w:tblW w:w="9388" w:type="dxa"/>
        <w:tblInd w:w="-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88"/>
      </w:tblGrid>
      <w:tr w:rsidR="009C60EA">
        <w:tc>
          <w:tcPr>
            <w:tcW w:w="9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60EA" w:rsidRDefault="009C6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____________________</w:t>
            </w:r>
          </w:p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Gestor do Contrato</w:t>
            </w:r>
          </w:p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  <w:t>&lt;Nome&gt;</w:t>
            </w:r>
          </w:p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  <w:t>&lt;Cargo&gt;</w:t>
            </w:r>
          </w:p>
          <w:p w:rsidR="009C60EA" w:rsidRDefault="00F30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i/>
                <w:color w:val="FF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FF333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  <w:t>&lt;Matrícula&gt;</w:t>
            </w:r>
          </w:p>
        </w:tc>
      </w:tr>
    </w:tbl>
    <w:p w:rsidR="009C60EA" w:rsidRDefault="00F307CF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/>
        <w:jc w:val="right"/>
        <w:rPr>
          <w:rFonts w:ascii="Calibri" w:eastAsia="Calibri" w:hAnsi="Calibri" w:cs="Calibri"/>
          <w:color w:val="FF3333"/>
        </w:rPr>
      </w:pPr>
      <w:r>
        <w:rPr>
          <w:rFonts w:ascii="Calibri" w:eastAsia="Calibri" w:hAnsi="Calibri" w:cs="Calibri"/>
          <w:color w:val="FF3333"/>
        </w:rPr>
        <w:t xml:space="preserve">Local, </w:t>
      </w:r>
      <w:r>
        <w:rPr>
          <w:rFonts w:ascii="Calibri" w:eastAsia="Calibri" w:hAnsi="Calibri" w:cs="Calibri"/>
          <w:i/>
          <w:color w:val="FF3333"/>
        </w:rPr>
        <w:t xml:space="preserve">&lt;dia&gt; </w:t>
      </w:r>
      <w:r>
        <w:rPr>
          <w:rFonts w:ascii="Calibri" w:eastAsia="Calibri" w:hAnsi="Calibri" w:cs="Calibri"/>
          <w:color w:val="FF3333"/>
        </w:rPr>
        <w:t xml:space="preserve">de </w:t>
      </w:r>
      <w:r>
        <w:rPr>
          <w:rFonts w:ascii="Calibri" w:eastAsia="Calibri" w:hAnsi="Calibri" w:cs="Calibri"/>
          <w:i/>
          <w:color w:val="FF3333"/>
        </w:rPr>
        <w:t>&lt;mês&gt;</w:t>
      </w:r>
      <w:r>
        <w:rPr>
          <w:rFonts w:ascii="Calibri" w:eastAsia="Calibri" w:hAnsi="Calibri" w:cs="Calibri"/>
          <w:color w:val="FF3333"/>
        </w:rPr>
        <w:t xml:space="preserve"> de </w:t>
      </w:r>
      <w:r>
        <w:rPr>
          <w:rFonts w:ascii="Calibri" w:eastAsia="Calibri" w:hAnsi="Calibri" w:cs="Calibri"/>
          <w:i/>
          <w:color w:val="FF3333"/>
        </w:rPr>
        <w:t>&lt;ano&gt;</w:t>
      </w:r>
      <w:r>
        <w:rPr>
          <w:rFonts w:ascii="Calibri" w:eastAsia="Calibri" w:hAnsi="Calibri" w:cs="Calibri"/>
          <w:color w:val="FF3333"/>
        </w:rPr>
        <w:t>.</w:t>
      </w:r>
    </w:p>
    <w:p w:rsidR="009C60EA" w:rsidRDefault="009C60E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FF3333"/>
        </w:rPr>
      </w:pPr>
    </w:p>
    <w:p w:rsidR="009C60EA" w:rsidRDefault="009C60E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FF3333"/>
        </w:rPr>
      </w:pPr>
    </w:p>
    <w:sectPr w:rsidR="009C60EA">
      <w:headerReference w:type="default" r:id="rId7"/>
      <w:footerReference w:type="default" r:id="rId8"/>
      <w:pgSz w:w="11906" w:h="16838"/>
      <w:pgMar w:top="2647" w:right="1134" w:bottom="1644" w:left="1417" w:header="566" w:footer="11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07CF" w:rsidRDefault="00F307CF">
      <w:r>
        <w:separator/>
      </w:r>
    </w:p>
  </w:endnote>
  <w:endnote w:type="continuationSeparator" w:id="0">
    <w:p w:rsidR="00F307CF" w:rsidRDefault="00F3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60EA" w:rsidRDefault="00F307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highlight w:val="white"/>
      </w:rPr>
    </w:pPr>
    <w:r>
      <w:rPr>
        <w:color w:val="000000"/>
        <w:highlight w:val="white"/>
      </w:rPr>
      <w:fldChar w:fldCharType="begin"/>
    </w:r>
    <w:r>
      <w:rPr>
        <w:color w:val="000000"/>
        <w:highlight w:val="white"/>
      </w:rPr>
      <w:instrText>PAGE</w:instrText>
    </w:r>
    <w:r w:rsidR="00600594">
      <w:rPr>
        <w:color w:val="000000"/>
        <w:highlight w:val="white"/>
      </w:rPr>
      <w:fldChar w:fldCharType="separate"/>
    </w:r>
    <w:r w:rsidR="00600594">
      <w:rPr>
        <w:noProof/>
        <w:color w:val="000000"/>
        <w:highlight w:val="white"/>
      </w:rPr>
      <w:t>1</w:t>
    </w:r>
    <w:r>
      <w:rPr>
        <w:color w:val="000000"/>
        <w:highlight w:val="whit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07CF" w:rsidRDefault="00F307CF">
      <w:r>
        <w:separator/>
      </w:r>
    </w:p>
  </w:footnote>
  <w:footnote w:type="continuationSeparator" w:id="0">
    <w:p w:rsidR="00F307CF" w:rsidRDefault="00F30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60EA" w:rsidRDefault="00F307CF">
    <w:pPr>
      <w:jc w:val="center"/>
      <w:rPr>
        <w:color w:val="000000"/>
      </w:rPr>
    </w:pPr>
    <w:r>
      <w:rPr>
        <w:noProof/>
      </w:rPr>
      <w:drawing>
        <wp:inline distT="114300" distB="114300" distL="114300" distR="114300">
          <wp:extent cx="2391728" cy="657113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23797" b="24147"/>
                  <a:stretch>
                    <a:fillRect/>
                  </a:stretch>
                </pic:blipFill>
                <pic:spPr>
                  <a:xfrm>
                    <a:off x="0" y="0"/>
                    <a:ext cx="2391728" cy="657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0EA"/>
    <w:rsid w:val="00600594"/>
    <w:rsid w:val="009C60EA"/>
    <w:rsid w:val="00F3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2FB307"/>
  <w15:docId w15:val="{4A4DDC65-561C-F043-9903-B22118CF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120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12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120"/>
      <w:ind w:left="720" w:hanging="720"/>
      <w:outlineLvl w:val="2"/>
    </w:pPr>
    <w:rPr>
      <w:rFonts w:ascii="Arial" w:eastAsia="Arial" w:hAnsi="Arial" w:cs="Arial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spacing w:before="240" w:after="120"/>
      <w:jc w:val="center"/>
    </w:pPr>
    <w:rPr>
      <w:rFonts w:ascii="Arial" w:eastAsia="Arial" w:hAnsi="Arial" w:cs="Arial"/>
      <w:b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78" w:type="dxa"/>
        <w:left w:w="69" w:type="dxa"/>
        <w:right w:w="72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78" w:type="dxa"/>
        <w:left w:w="69" w:type="dxa"/>
        <w:right w:w="72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1848</Words>
  <Characters>10537</Characters>
  <Application>Microsoft Office Word</Application>
  <DocSecurity>0</DocSecurity>
  <Lines>87</Lines>
  <Paragraphs>24</Paragraphs>
  <ScaleCrop>false</ScaleCrop>
  <Company/>
  <LinksUpToDate>false</LinksUpToDate>
  <CharactersWithSpaces>12361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Vitor Castro</cp:lastModifiedBy>
  <cp:revision>2</cp:revision>
  <dcterms:created xsi:type="dcterms:W3CDTF">2020-05-07T13:55:00Z</dcterms:created>
  <dcterms:modified xsi:type="dcterms:W3CDTF">2020-05-07T13:55:00Z</dcterms:modified>
</cp:coreProperties>
</file>